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A9" w:rsidRPr="001E55DD" w:rsidRDefault="00E03AA9" w:rsidP="00E03AA9">
      <w:pPr>
        <w:pStyle w:val="CH1"/>
        <w:tabs>
          <w:tab w:val="clear" w:pos="851"/>
          <w:tab w:val="clear" w:pos="1247"/>
          <w:tab w:val="clear" w:pos="1814"/>
          <w:tab w:val="clear" w:pos="2381"/>
          <w:tab w:val="clear" w:pos="2948"/>
          <w:tab w:val="clear" w:pos="3515"/>
          <w:tab w:val="clear" w:pos="4082"/>
        </w:tabs>
        <w:ind w:firstLine="0"/>
      </w:pPr>
      <w:r w:rsidRPr="001E55DD">
        <w:t>SC-9/12: Listing of perfluorooctanoic acid (PFOA), its salts and PFOA-related compounds</w:t>
      </w:r>
    </w:p>
    <w:p w:rsidR="00E03AA9" w:rsidRPr="001E55DD" w:rsidRDefault="00E03AA9" w:rsidP="00E03AA9">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1E55DD">
        <w:rPr>
          <w:i/>
        </w:rPr>
        <w:t>The Conference of the Parties,</w:t>
      </w:r>
    </w:p>
    <w:p w:rsidR="00E03AA9" w:rsidRPr="001E55DD" w:rsidRDefault="00E03AA9" w:rsidP="00E03AA9">
      <w:pPr>
        <w:pStyle w:val="Normal-pool"/>
        <w:tabs>
          <w:tab w:val="clear" w:pos="1247"/>
          <w:tab w:val="clear" w:pos="1814"/>
          <w:tab w:val="clear" w:pos="2381"/>
          <w:tab w:val="clear" w:pos="2948"/>
          <w:tab w:val="clear" w:pos="3515"/>
          <w:tab w:val="clear" w:pos="4082"/>
          <w:tab w:val="left" w:pos="624"/>
        </w:tabs>
        <w:spacing w:after="120"/>
        <w:ind w:left="1247" w:firstLine="624"/>
      </w:pPr>
      <w:r w:rsidRPr="001E55DD">
        <w:rPr>
          <w:i/>
        </w:rPr>
        <w:t>Having considered</w:t>
      </w:r>
      <w:r w:rsidRPr="001E55DD">
        <w:t xml:space="preserve"> the </w:t>
      </w:r>
      <w:r w:rsidRPr="00566187">
        <w:t>risk profile, the risk</w:t>
      </w:r>
      <w:r w:rsidRPr="001E55DD">
        <w:t xml:space="preserve"> management evaluation and the addendum to the risk management evaluation for perfluorooctanoic acid (PFOA), its salts and PFOA</w:t>
      </w:r>
      <w:r w:rsidRPr="001E55DD">
        <w:noBreakHyphen/>
        <w:t>related compounds as transmitted by the Persistent Organic Pollutants Review Committee,</w:t>
      </w:r>
      <w:r w:rsidRPr="001E55DD">
        <w:rPr>
          <w:rStyle w:val="FootnoteReference"/>
        </w:rPr>
        <w:footnoteReference w:id="1"/>
      </w:r>
    </w:p>
    <w:p w:rsidR="00E03AA9" w:rsidRPr="001E55DD" w:rsidRDefault="00E03AA9" w:rsidP="00E03AA9">
      <w:pPr>
        <w:pStyle w:val="Normal-pool"/>
        <w:tabs>
          <w:tab w:val="clear" w:pos="1247"/>
          <w:tab w:val="clear" w:pos="1814"/>
          <w:tab w:val="clear" w:pos="2381"/>
          <w:tab w:val="clear" w:pos="2948"/>
          <w:tab w:val="clear" w:pos="3515"/>
          <w:tab w:val="clear" w:pos="4082"/>
          <w:tab w:val="left" w:pos="624"/>
        </w:tabs>
        <w:spacing w:after="120"/>
        <w:ind w:left="1247" w:firstLine="624"/>
      </w:pPr>
      <w:r w:rsidRPr="001E55DD">
        <w:rPr>
          <w:i/>
        </w:rPr>
        <w:t>Taking note</w:t>
      </w:r>
      <w:r w:rsidRPr="001E55DD">
        <w:t xml:space="preserve"> of the recommendation by the Persistent Organic Pollutants Review Committee that perfluorooctanoic acid (PFOA), its salts and PFOA-related compounds be listed in Annex A to the Stockholm Convention on Persistent Organic Pollutants with specific exemptions,</w:t>
      </w:r>
      <w:r w:rsidRPr="001E55DD">
        <w:rPr>
          <w:rStyle w:val="FootnoteReference"/>
        </w:rPr>
        <w:footnoteReference w:id="2"/>
      </w:r>
      <w:r w:rsidRPr="001E55DD">
        <w:t xml:space="preserve"> </w:t>
      </w:r>
    </w:p>
    <w:p w:rsidR="00E03AA9" w:rsidRPr="001E55DD" w:rsidRDefault="00E03AA9" w:rsidP="00E03AA9">
      <w:pPr>
        <w:pStyle w:val="Normal-pool"/>
        <w:numPr>
          <w:ilvl w:val="6"/>
          <w:numId w:val="1"/>
        </w:numPr>
        <w:tabs>
          <w:tab w:val="clear" w:pos="1247"/>
          <w:tab w:val="clear" w:pos="1814"/>
          <w:tab w:val="clear" w:pos="2381"/>
          <w:tab w:val="clear" w:pos="2948"/>
          <w:tab w:val="clear" w:pos="3515"/>
          <w:tab w:val="clear" w:pos="4082"/>
          <w:tab w:val="clear" w:pos="7988"/>
          <w:tab w:val="left" w:pos="624"/>
        </w:tabs>
        <w:spacing w:after="120"/>
        <w:ind w:left="1247" w:firstLine="624"/>
      </w:pPr>
      <w:r w:rsidRPr="001E55DD">
        <w:rPr>
          <w:i/>
        </w:rPr>
        <w:t>Decides</w:t>
      </w:r>
      <w:r w:rsidRPr="001E55DD">
        <w:t xml:space="preserve"> to amend part I of Annex A to the Stockholm Convention on Persistent Organic Pollutants to list therein perfluorooctanoic acid (PFOA), its salts and PFOA-related compounds, with specific exemptions for the production and use of perfluorooctanoic acid (PFOA), its salts and PFOA</w:t>
      </w:r>
      <w:r w:rsidRPr="001E55DD">
        <w:noBreakHyphen/>
        <w:t>related compounds, by inserting the following rows:</w:t>
      </w:r>
    </w:p>
    <w:tbl>
      <w:tblPr>
        <w:tblW w:w="5000" w:type="pct"/>
        <w:jc w:val="right"/>
        <w:tblLook w:val="04A0" w:firstRow="1" w:lastRow="0" w:firstColumn="1" w:lastColumn="0" w:noHBand="0" w:noVBand="1"/>
      </w:tblPr>
      <w:tblGrid>
        <w:gridCol w:w="4411"/>
        <w:gridCol w:w="1024"/>
        <w:gridCol w:w="3925"/>
      </w:tblGrid>
      <w:tr w:rsidR="00E03AA9" w:rsidRPr="001E55DD" w:rsidTr="00610002">
        <w:trPr>
          <w:trHeight w:val="57"/>
          <w:tblHeader/>
          <w:jc w:val="right"/>
        </w:trPr>
        <w:tc>
          <w:tcPr>
            <w:tcW w:w="0" w:type="auto"/>
            <w:tcBorders>
              <w:top w:val="single" w:sz="4" w:space="0" w:color="auto"/>
              <w:left w:val="nil"/>
              <w:bottom w:val="single" w:sz="12" w:space="0" w:color="auto"/>
              <w:right w:val="nil"/>
            </w:tcBorders>
            <w:shd w:val="clear" w:color="auto" w:fill="FFFFFF"/>
            <w:hideMark/>
          </w:tcPr>
          <w:p w:rsidR="00E03AA9" w:rsidRPr="001E55DD" w:rsidRDefault="00E03AA9" w:rsidP="00610002">
            <w:pPr>
              <w:snapToGrid w:val="0"/>
              <w:spacing w:before="40" w:after="40"/>
              <w:rPr>
                <w:i/>
                <w:color w:val="000000"/>
                <w:sz w:val="18"/>
                <w:szCs w:val="18"/>
                <w:lang w:eastAsia="fr-CH"/>
              </w:rPr>
            </w:pPr>
            <w:r w:rsidRPr="001E55DD">
              <w:rPr>
                <w:i/>
                <w:color w:val="000000"/>
                <w:sz w:val="18"/>
                <w:szCs w:val="18"/>
                <w:lang w:eastAsia="fr-CH"/>
              </w:rPr>
              <w:t xml:space="preserve">Chemical </w:t>
            </w:r>
          </w:p>
        </w:tc>
        <w:tc>
          <w:tcPr>
            <w:tcW w:w="0" w:type="auto"/>
            <w:tcBorders>
              <w:top w:val="single" w:sz="4" w:space="0" w:color="auto"/>
              <w:left w:val="nil"/>
              <w:bottom w:val="single" w:sz="12" w:space="0" w:color="auto"/>
              <w:right w:val="nil"/>
            </w:tcBorders>
            <w:shd w:val="clear" w:color="auto" w:fill="FFFFFF"/>
            <w:hideMark/>
          </w:tcPr>
          <w:p w:rsidR="00E03AA9" w:rsidRPr="001E55DD" w:rsidRDefault="00E03AA9" w:rsidP="00610002">
            <w:pPr>
              <w:snapToGrid w:val="0"/>
              <w:spacing w:before="40" w:after="40"/>
              <w:rPr>
                <w:i/>
                <w:color w:val="000000"/>
                <w:sz w:val="18"/>
                <w:szCs w:val="18"/>
                <w:lang w:eastAsia="fr-CH"/>
              </w:rPr>
            </w:pPr>
            <w:r w:rsidRPr="001E55DD">
              <w:rPr>
                <w:i/>
                <w:color w:val="000000"/>
                <w:sz w:val="18"/>
                <w:szCs w:val="18"/>
                <w:lang w:eastAsia="fr-CH"/>
              </w:rPr>
              <w:t>Activity</w:t>
            </w:r>
          </w:p>
        </w:tc>
        <w:tc>
          <w:tcPr>
            <w:tcW w:w="0" w:type="auto"/>
            <w:tcBorders>
              <w:top w:val="single" w:sz="4" w:space="0" w:color="auto"/>
              <w:left w:val="nil"/>
              <w:bottom w:val="single" w:sz="12" w:space="0" w:color="auto"/>
              <w:right w:val="nil"/>
            </w:tcBorders>
            <w:shd w:val="clear" w:color="auto" w:fill="FFFFFF"/>
            <w:hideMark/>
          </w:tcPr>
          <w:p w:rsidR="00E03AA9" w:rsidRPr="001E55DD" w:rsidRDefault="00E03AA9" w:rsidP="00610002">
            <w:pPr>
              <w:snapToGrid w:val="0"/>
              <w:spacing w:before="40" w:after="40"/>
              <w:rPr>
                <w:i/>
                <w:color w:val="000000"/>
                <w:sz w:val="18"/>
                <w:szCs w:val="18"/>
                <w:lang w:eastAsia="fr-CH"/>
              </w:rPr>
            </w:pPr>
            <w:r w:rsidRPr="001E55DD">
              <w:rPr>
                <w:i/>
                <w:color w:val="000000"/>
                <w:sz w:val="18"/>
                <w:szCs w:val="18"/>
                <w:lang w:eastAsia="fr-CH"/>
              </w:rPr>
              <w:t>Specific exemption</w:t>
            </w:r>
          </w:p>
        </w:tc>
      </w:tr>
      <w:tr w:rsidR="00E03AA9" w:rsidRPr="001E55DD" w:rsidTr="00610002">
        <w:trPr>
          <w:trHeight w:val="57"/>
          <w:jc w:val="right"/>
        </w:trPr>
        <w:tc>
          <w:tcPr>
            <w:tcW w:w="0" w:type="auto"/>
            <w:vMerge w:val="restart"/>
            <w:tcBorders>
              <w:top w:val="single" w:sz="12" w:space="0" w:color="auto"/>
              <w:left w:val="nil"/>
              <w:bottom w:val="single" w:sz="12" w:space="0" w:color="auto"/>
              <w:right w:val="nil"/>
            </w:tcBorders>
          </w:tcPr>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Perfluorooctanoic acid (PFOA), its salts and PFOA-related compounds</w:t>
            </w:r>
          </w:p>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 xml:space="preserve">“Perfluorooctanoic acid (PFOA), its salts and </w:t>
            </w:r>
            <w:r w:rsidRPr="001E55DD">
              <w:rPr>
                <w:color w:val="000000"/>
                <w:sz w:val="18"/>
                <w:szCs w:val="18"/>
                <w:lang w:eastAsia="fr-CH"/>
              </w:rPr>
              <w:br/>
              <w:t>PFOA-related compounds” means the following:</w:t>
            </w:r>
          </w:p>
          <w:p w:rsidR="00E03AA9" w:rsidRPr="001E55DD" w:rsidRDefault="00E03AA9" w:rsidP="00E03AA9">
            <w:pPr>
              <w:numPr>
                <w:ilvl w:val="0"/>
                <w:numId w:val="5"/>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 xml:space="preserve">Perfluorooctanoic acid (PFOA; </w:t>
            </w:r>
            <w:r w:rsidRPr="001E55DD">
              <w:rPr>
                <w:color w:val="000000"/>
                <w:sz w:val="18"/>
                <w:szCs w:val="18"/>
                <w:lang w:eastAsia="fr-CH"/>
              </w:rPr>
              <w:br/>
              <w:t>CAS No. 335-67-1), including any of its branched isomers;</w:t>
            </w:r>
          </w:p>
          <w:p w:rsidR="00E03AA9" w:rsidRPr="001E55DD" w:rsidRDefault="00E03AA9" w:rsidP="00E03AA9">
            <w:pPr>
              <w:numPr>
                <w:ilvl w:val="0"/>
                <w:numId w:val="5"/>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 xml:space="preserve">Its salts; </w:t>
            </w:r>
          </w:p>
          <w:p w:rsidR="00E03AA9" w:rsidRPr="001E55DD" w:rsidRDefault="00E03AA9" w:rsidP="00E03AA9">
            <w:pPr>
              <w:numPr>
                <w:ilvl w:val="0"/>
                <w:numId w:val="5"/>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 xml:space="preserve">PFOA-related compounds which, for the purposes of the Convention, are any substances that degrade to PFOA, including any substances (including salts and polymers) having a linear or branched </w:t>
            </w:r>
            <w:proofErr w:type="spellStart"/>
            <w:r w:rsidRPr="001E55DD">
              <w:rPr>
                <w:color w:val="000000"/>
                <w:sz w:val="18"/>
                <w:szCs w:val="18"/>
                <w:lang w:eastAsia="fr-CH"/>
              </w:rPr>
              <w:t>perfluoroheptyl</w:t>
            </w:r>
            <w:proofErr w:type="spellEnd"/>
            <w:r w:rsidRPr="001E55DD">
              <w:rPr>
                <w:color w:val="000000"/>
                <w:sz w:val="18"/>
                <w:szCs w:val="18"/>
                <w:lang w:eastAsia="fr-CH"/>
              </w:rPr>
              <w:t xml:space="preserve"> group with the moiety (C</w:t>
            </w:r>
            <w:r w:rsidRPr="001E55DD">
              <w:rPr>
                <w:color w:val="000000"/>
                <w:sz w:val="18"/>
                <w:szCs w:val="18"/>
                <w:vertAlign w:val="subscript"/>
                <w:lang w:eastAsia="fr-CH"/>
              </w:rPr>
              <w:t>7</w:t>
            </w:r>
            <w:r w:rsidRPr="001E55DD">
              <w:rPr>
                <w:color w:val="000000"/>
                <w:sz w:val="18"/>
                <w:szCs w:val="18"/>
                <w:lang w:eastAsia="fr-CH"/>
              </w:rPr>
              <w:t>F</w:t>
            </w:r>
            <w:proofErr w:type="gramStart"/>
            <w:r w:rsidRPr="001E55DD">
              <w:rPr>
                <w:color w:val="000000"/>
                <w:sz w:val="18"/>
                <w:szCs w:val="18"/>
                <w:vertAlign w:val="subscript"/>
                <w:lang w:eastAsia="fr-CH"/>
              </w:rPr>
              <w:t>15</w:t>
            </w:r>
            <w:r w:rsidRPr="001E55DD">
              <w:rPr>
                <w:color w:val="000000"/>
                <w:sz w:val="18"/>
                <w:szCs w:val="18"/>
                <w:lang w:eastAsia="fr-CH"/>
              </w:rPr>
              <w:t>)C</w:t>
            </w:r>
            <w:proofErr w:type="gramEnd"/>
            <w:r w:rsidRPr="001E55DD">
              <w:rPr>
                <w:color w:val="000000"/>
                <w:sz w:val="18"/>
                <w:szCs w:val="18"/>
                <w:lang w:eastAsia="fr-CH"/>
              </w:rPr>
              <w:t xml:space="preserve"> as one of the structural elements;</w:t>
            </w:r>
          </w:p>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 xml:space="preserve">The following compounds are not included as </w:t>
            </w:r>
            <w:r w:rsidRPr="001E55DD">
              <w:rPr>
                <w:color w:val="000000"/>
                <w:sz w:val="18"/>
                <w:szCs w:val="18"/>
                <w:lang w:eastAsia="fr-CH"/>
              </w:rPr>
              <w:br/>
              <w:t>PFOA-related compounds:</w:t>
            </w:r>
          </w:p>
          <w:p w:rsidR="00E03AA9" w:rsidRPr="001E55DD" w:rsidRDefault="00E03AA9" w:rsidP="00E03AA9">
            <w:pPr>
              <w:numPr>
                <w:ilvl w:val="0"/>
                <w:numId w:val="6"/>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C</w:t>
            </w:r>
            <w:r w:rsidRPr="001E55DD">
              <w:rPr>
                <w:color w:val="000000"/>
                <w:sz w:val="18"/>
                <w:szCs w:val="18"/>
                <w:vertAlign w:val="subscript"/>
                <w:lang w:eastAsia="fr-CH"/>
              </w:rPr>
              <w:t>8</w:t>
            </w:r>
            <w:r w:rsidRPr="001E55DD">
              <w:rPr>
                <w:color w:val="000000"/>
                <w:sz w:val="18"/>
                <w:szCs w:val="18"/>
                <w:lang w:eastAsia="fr-CH"/>
              </w:rPr>
              <w:t>F</w:t>
            </w:r>
            <w:r w:rsidRPr="001E55DD">
              <w:rPr>
                <w:color w:val="000000"/>
                <w:sz w:val="18"/>
                <w:szCs w:val="18"/>
                <w:vertAlign w:val="subscript"/>
                <w:lang w:eastAsia="fr-CH"/>
              </w:rPr>
              <w:t>17</w:t>
            </w:r>
            <w:r w:rsidRPr="001E55DD">
              <w:rPr>
                <w:color w:val="000000"/>
                <w:sz w:val="18"/>
                <w:szCs w:val="18"/>
                <w:lang w:eastAsia="fr-CH"/>
              </w:rPr>
              <w:t>-X, where X= F, Cl, Br;</w:t>
            </w:r>
          </w:p>
          <w:p w:rsidR="00E03AA9" w:rsidRPr="001E55DD" w:rsidRDefault="00E03AA9" w:rsidP="00E03AA9">
            <w:pPr>
              <w:numPr>
                <w:ilvl w:val="0"/>
                <w:numId w:val="6"/>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Fluoropolymers that are covered by CF</w:t>
            </w:r>
            <w:r w:rsidRPr="001E55DD">
              <w:rPr>
                <w:color w:val="000000"/>
                <w:sz w:val="18"/>
                <w:szCs w:val="18"/>
                <w:vertAlign w:val="subscript"/>
                <w:lang w:eastAsia="fr-CH"/>
              </w:rPr>
              <w:t>3</w:t>
            </w:r>
            <w:r w:rsidRPr="001E55DD">
              <w:rPr>
                <w:color w:val="000000"/>
                <w:sz w:val="18"/>
                <w:szCs w:val="18"/>
                <w:lang w:eastAsia="fr-CH"/>
              </w:rPr>
              <w:t>[CF</w:t>
            </w:r>
            <w:proofErr w:type="gramStart"/>
            <w:r w:rsidRPr="001E55DD">
              <w:rPr>
                <w:color w:val="000000"/>
                <w:sz w:val="18"/>
                <w:szCs w:val="18"/>
                <w:vertAlign w:val="subscript"/>
                <w:lang w:eastAsia="fr-CH"/>
              </w:rPr>
              <w:t>2</w:t>
            </w:r>
            <w:r w:rsidRPr="001E55DD">
              <w:rPr>
                <w:color w:val="000000"/>
                <w:sz w:val="18"/>
                <w:szCs w:val="18"/>
                <w:lang w:eastAsia="fr-CH"/>
              </w:rPr>
              <w:t>]</w:t>
            </w:r>
            <w:r w:rsidRPr="001E55DD">
              <w:rPr>
                <w:color w:val="000000"/>
                <w:sz w:val="18"/>
                <w:szCs w:val="18"/>
                <w:vertAlign w:val="subscript"/>
                <w:lang w:eastAsia="fr-CH"/>
              </w:rPr>
              <w:t>n</w:t>
            </w:r>
            <w:proofErr w:type="gramEnd"/>
            <w:r w:rsidRPr="001E55DD">
              <w:rPr>
                <w:color w:val="000000"/>
                <w:sz w:val="18"/>
                <w:szCs w:val="18"/>
                <w:lang w:eastAsia="fr-CH"/>
              </w:rPr>
              <w:t>-R’, where R’=any group, n&gt;16;</w:t>
            </w:r>
          </w:p>
          <w:p w:rsidR="00E03AA9" w:rsidRPr="001E55DD" w:rsidRDefault="00E03AA9" w:rsidP="00E03AA9">
            <w:pPr>
              <w:numPr>
                <w:ilvl w:val="0"/>
                <w:numId w:val="6"/>
              </w:numPr>
              <w:tabs>
                <w:tab w:val="left" w:pos="503"/>
              </w:tabs>
              <w:suppressAutoHyphens/>
              <w:snapToGrid w:val="0"/>
              <w:spacing w:before="40" w:after="40" w:line="240" w:lineRule="auto"/>
              <w:ind w:left="503" w:hanging="425"/>
              <w:rPr>
                <w:color w:val="000000"/>
                <w:sz w:val="18"/>
                <w:szCs w:val="18"/>
                <w:lang w:eastAsia="fr-CH"/>
              </w:rPr>
            </w:pPr>
            <w:r w:rsidRPr="001E55DD">
              <w:rPr>
                <w:color w:val="000000"/>
                <w:sz w:val="18"/>
                <w:szCs w:val="18"/>
                <w:lang w:eastAsia="fr-CH"/>
              </w:rPr>
              <w:t xml:space="preserve">Perfluoroalkyl carboxylic and phosphonic acids (including their salts, esters, halides and anhydrides) with ≥8 </w:t>
            </w:r>
            <w:proofErr w:type="spellStart"/>
            <w:r w:rsidRPr="001E55DD">
              <w:rPr>
                <w:color w:val="000000"/>
                <w:sz w:val="18"/>
                <w:szCs w:val="18"/>
                <w:lang w:eastAsia="fr-CH"/>
              </w:rPr>
              <w:t>perfluorinated</w:t>
            </w:r>
            <w:proofErr w:type="spellEnd"/>
            <w:r w:rsidRPr="001E55DD">
              <w:rPr>
                <w:color w:val="000000"/>
                <w:sz w:val="18"/>
                <w:szCs w:val="18"/>
                <w:lang w:eastAsia="fr-CH"/>
              </w:rPr>
              <w:t xml:space="preserve"> carbons; </w:t>
            </w:r>
          </w:p>
          <w:p w:rsidR="00E03AA9" w:rsidRPr="001E55DD" w:rsidRDefault="00E03AA9" w:rsidP="00E03AA9">
            <w:pPr>
              <w:numPr>
                <w:ilvl w:val="0"/>
                <w:numId w:val="6"/>
              </w:numPr>
              <w:tabs>
                <w:tab w:val="left" w:pos="503"/>
              </w:tabs>
              <w:suppressAutoHyphens/>
              <w:snapToGrid w:val="0"/>
              <w:spacing w:before="40" w:after="40" w:line="240" w:lineRule="auto"/>
              <w:ind w:left="503" w:hanging="425"/>
              <w:rPr>
                <w:color w:val="000000"/>
                <w:sz w:val="18"/>
                <w:szCs w:val="18"/>
                <w:lang w:eastAsia="fr-CH"/>
              </w:rPr>
            </w:pPr>
            <w:proofErr w:type="spellStart"/>
            <w:r w:rsidRPr="001E55DD">
              <w:rPr>
                <w:color w:val="000000"/>
                <w:sz w:val="18"/>
                <w:szCs w:val="18"/>
                <w:lang w:eastAsia="fr-CH"/>
              </w:rPr>
              <w:t>Perfluoroalkane</w:t>
            </w:r>
            <w:proofErr w:type="spellEnd"/>
            <w:r w:rsidRPr="001E55DD">
              <w:rPr>
                <w:color w:val="000000"/>
                <w:sz w:val="18"/>
                <w:szCs w:val="18"/>
                <w:lang w:eastAsia="fr-CH"/>
              </w:rPr>
              <w:t xml:space="preserve"> sulfonic acids (including their salts, esters, halides and anhydrides) with ≥9 </w:t>
            </w:r>
            <w:proofErr w:type="spellStart"/>
            <w:r w:rsidRPr="001E55DD">
              <w:rPr>
                <w:color w:val="000000"/>
                <w:sz w:val="18"/>
                <w:szCs w:val="18"/>
                <w:lang w:eastAsia="fr-CH"/>
              </w:rPr>
              <w:t>perfluorinated</w:t>
            </w:r>
            <w:proofErr w:type="spellEnd"/>
            <w:r w:rsidRPr="001E55DD">
              <w:rPr>
                <w:color w:val="000000"/>
                <w:sz w:val="18"/>
                <w:szCs w:val="18"/>
                <w:lang w:eastAsia="fr-CH"/>
              </w:rPr>
              <w:t xml:space="preserve"> carbons;  </w:t>
            </w:r>
          </w:p>
          <w:p w:rsidR="00E03AA9" w:rsidRPr="001E55DD" w:rsidRDefault="00E03AA9" w:rsidP="00E03AA9">
            <w:pPr>
              <w:numPr>
                <w:ilvl w:val="0"/>
                <w:numId w:val="6"/>
              </w:numPr>
              <w:tabs>
                <w:tab w:val="left" w:pos="503"/>
              </w:tabs>
              <w:suppressAutoHyphens/>
              <w:snapToGrid w:val="0"/>
              <w:spacing w:before="40" w:after="40" w:line="240" w:lineRule="auto"/>
              <w:ind w:left="503" w:hanging="425"/>
              <w:rPr>
                <w:color w:val="000000"/>
                <w:sz w:val="18"/>
                <w:szCs w:val="18"/>
                <w:lang w:eastAsia="fr-CH"/>
              </w:rPr>
            </w:pPr>
            <w:proofErr w:type="spellStart"/>
            <w:r w:rsidRPr="001E55DD">
              <w:rPr>
                <w:color w:val="000000"/>
                <w:sz w:val="18"/>
                <w:szCs w:val="18"/>
                <w:lang w:eastAsia="fr-CH"/>
              </w:rPr>
              <w:t>Perfluorooctane</w:t>
            </w:r>
            <w:proofErr w:type="spellEnd"/>
            <w:r w:rsidRPr="001E55DD">
              <w:rPr>
                <w:color w:val="000000"/>
                <w:sz w:val="18"/>
                <w:szCs w:val="18"/>
                <w:lang w:eastAsia="fr-CH"/>
              </w:rPr>
              <w:t xml:space="preserve"> sulfonic acid (PFOS), its salts and </w:t>
            </w:r>
            <w:proofErr w:type="spellStart"/>
            <w:r w:rsidRPr="001E55DD">
              <w:rPr>
                <w:color w:val="000000"/>
                <w:sz w:val="18"/>
                <w:szCs w:val="18"/>
                <w:lang w:eastAsia="fr-CH"/>
              </w:rPr>
              <w:t>perfluorooctane</w:t>
            </w:r>
            <w:proofErr w:type="spellEnd"/>
            <w:r w:rsidRPr="001E55DD">
              <w:rPr>
                <w:color w:val="000000"/>
                <w:sz w:val="18"/>
                <w:szCs w:val="18"/>
                <w:lang w:eastAsia="fr-CH"/>
              </w:rPr>
              <w:t xml:space="preserve"> sulfonyl fluoride (PFOSF), as listed in Annex B to the Convention.</w:t>
            </w:r>
          </w:p>
        </w:tc>
        <w:tc>
          <w:tcPr>
            <w:tcW w:w="0" w:type="auto"/>
            <w:tcBorders>
              <w:top w:val="single" w:sz="12" w:space="0" w:color="auto"/>
              <w:left w:val="nil"/>
              <w:bottom w:val="single" w:sz="4" w:space="0" w:color="auto"/>
              <w:right w:val="nil"/>
            </w:tcBorders>
            <w:shd w:val="clear" w:color="auto" w:fill="FFFFFF"/>
            <w:hideMark/>
          </w:tcPr>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 xml:space="preserve">Production </w:t>
            </w:r>
          </w:p>
        </w:tc>
        <w:tc>
          <w:tcPr>
            <w:tcW w:w="0" w:type="auto"/>
            <w:tcBorders>
              <w:top w:val="single" w:sz="12" w:space="0" w:color="auto"/>
              <w:left w:val="nil"/>
              <w:bottom w:val="single" w:sz="4" w:space="0" w:color="auto"/>
              <w:right w:val="nil"/>
            </w:tcBorders>
            <w:shd w:val="clear" w:color="auto" w:fill="FFFFFF"/>
            <w:hideMark/>
          </w:tcPr>
          <w:p w:rsidR="00E03AA9" w:rsidRPr="001E55DD" w:rsidRDefault="00E03AA9" w:rsidP="00E03AA9">
            <w:pPr>
              <w:pStyle w:val="ListParagraph"/>
              <w:numPr>
                <w:ilvl w:val="0"/>
                <w:numId w:val="2"/>
              </w:numPr>
              <w:suppressAutoHyphens/>
              <w:snapToGrid w:val="0"/>
              <w:spacing w:before="40" w:after="40"/>
              <w:rPr>
                <w:color w:val="000000"/>
                <w:sz w:val="18"/>
                <w:szCs w:val="18"/>
                <w:lang w:val="en-GB" w:eastAsia="fr-CH"/>
              </w:rPr>
            </w:pPr>
            <w:r w:rsidRPr="001E55DD">
              <w:rPr>
                <w:color w:val="000000"/>
                <w:sz w:val="18"/>
                <w:szCs w:val="18"/>
                <w:lang w:val="en-GB" w:eastAsia="fr-CH"/>
              </w:rPr>
              <w:t>Fire-fighting foam: None</w:t>
            </w:r>
          </w:p>
          <w:p w:rsidR="00E03AA9" w:rsidRPr="001E55DD" w:rsidRDefault="00E03AA9" w:rsidP="00E03AA9">
            <w:pPr>
              <w:pStyle w:val="ListParagraph"/>
              <w:numPr>
                <w:ilvl w:val="0"/>
                <w:numId w:val="2"/>
              </w:numPr>
              <w:suppressAutoHyphens/>
              <w:snapToGrid w:val="0"/>
              <w:spacing w:before="40" w:after="40"/>
              <w:ind w:left="357" w:hanging="357"/>
              <w:contextualSpacing w:val="0"/>
              <w:rPr>
                <w:color w:val="000000"/>
                <w:sz w:val="18"/>
                <w:szCs w:val="18"/>
                <w:lang w:val="en-GB" w:eastAsia="fr-CH"/>
              </w:rPr>
            </w:pPr>
            <w:r w:rsidRPr="001E55DD">
              <w:rPr>
                <w:color w:val="000000"/>
                <w:sz w:val="18"/>
                <w:szCs w:val="18"/>
                <w:lang w:val="en-GB" w:eastAsia="fr-CH"/>
              </w:rPr>
              <w:t xml:space="preserve">For other production, as allowed for the Parties listed in the Register in accordance with the provisions of part X of this Annex </w:t>
            </w:r>
          </w:p>
        </w:tc>
      </w:tr>
      <w:tr w:rsidR="00E03AA9" w:rsidRPr="001E55DD" w:rsidTr="00610002">
        <w:trPr>
          <w:trHeight w:val="57"/>
          <w:jc w:val="right"/>
        </w:trPr>
        <w:tc>
          <w:tcPr>
            <w:tcW w:w="0" w:type="auto"/>
            <w:vMerge/>
            <w:tcBorders>
              <w:top w:val="single" w:sz="12" w:space="0" w:color="auto"/>
              <w:left w:val="nil"/>
              <w:bottom w:val="single" w:sz="12" w:space="0" w:color="auto"/>
              <w:right w:val="nil"/>
            </w:tcBorders>
            <w:hideMark/>
          </w:tcPr>
          <w:p w:rsidR="00E03AA9" w:rsidRPr="001E55DD" w:rsidRDefault="00E03AA9" w:rsidP="00610002">
            <w:pPr>
              <w:spacing w:before="40" w:after="40"/>
              <w:rPr>
                <w:color w:val="000000"/>
                <w:sz w:val="18"/>
                <w:szCs w:val="18"/>
                <w:lang w:eastAsia="fr-CH"/>
              </w:rPr>
            </w:pPr>
          </w:p>
        </w:tc>
        <w:tc>
          <w:tcPr>
            <w:tcW w:w="0" w:type="auto"/>
            <w:tcBorders>
              <w:top w:val="single" w:sz="4" w:space="0" w:color="auto"/>
              <w:left w:val="nil"/>
              <w:bottom w:val="single" w:sz="12" w:space="0" w:color="auto"/>
              <w:right w:val="nil"/>
            </w:tcBorders>
            <w:hideMark/>
          </w:tcPr>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Use</w:t>
            </w:r>
          </w:p>
        </w:tc>
        <w:tc>
          <w:tcPr>
            <w:tcW w:w="0" w:type="auto"/>
            <w:tcBorders>
              <w:top w:val="single" w:sz="4" w:space="0" w:color="auto"/>
              <w:left w:val="nil"/>
              <w:bottom w:val="single" w:sz="12" w:space="0" w:color="auto"/>
              <w:right w:val="nil"/>
            </w:tcBorders>
            <w:hideMark/>
          </w:tcPr>
          <w:p w:rsidR="00E03AA9" w:rsidRPr="001E55DD" w:rsidRDefault="00E03AA9" w:rsidP="00610002">
            <w:pPr>
              <w:suppressAutoHyphens/>
              <w:snapToGrid w:val="0"/>
              <w:spacing w:before="40" w:after="40"/>
              <w:rPr>
                <w:color w:val="000000"/>
                <w:sz w:val="18"/>
                <w:szCs w:val="18"/>
                <w:lang w:eastAsia="fr-CH"/>
              </w:rPr>
            </w:pPr>
            <w:r w:rsidRPr="001E55DD">
              <w:rPr>
                <w:color w:val="000000"/>
                <w:sz w:val="18"/>
                <w:szCs w:val="18"/>
                <w:lang w:eastAsia="fr-CH"/>
              </w:rPr>
              <w:t>In accordance with the provisions of part X of this Annex:</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Photolithography or etch processes in semiconductor manufacturing</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Photographic coatings applied to films</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 xml:space="preserve">Textiles for oil and water </w:t>
            </w:r>
            <w:proofErr w:type="spellStart"/>
            <w:r w:rsidRPr="001E55DD">
              <w:rPr>
                <w:color w:val="000000"/>
                <w:sz w:val="18"/>
                <w:szCs w:val="18"/>
                <w:lang w:val="en-GB" w:eastAsia="fr-CH"/>
              </w:rPr>
              <w:t>repellency</w:t>
            </w:r>
            <w:proofErr w:type="spellEnd"/>
            <w:r w:rsidRPr="001E55DD">
              <w:rPr>
                <w:color w:val="000000"/>
                <w:sz w:val="18"/>
                <w:szCs w:val="18"/>
                <w:lang w:val="en-GB" w:eastAsia="fr-CH"/>
              </w:rPr>
              <w:t xml:space="preserve"> for the protection of workers from dangerous liquids that comprise risks to their health and safety </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Invasive and implantable medical devices</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Fire-fighting foam for liquid fuel vapour suppression and liquid fuel fires (Class B fires) in installed systems, including both mobile and fixed systems, in accordance with paragraph 2 of part X of this Annex</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color w:val="000000"/>
                <w:sz w:val="18"/>
                <w:szCs w:val="18"/>
                <w:lang w:val="en-GB" w:eastAsia="fr-CH"/>
              </w:rPr>
              <w:t xml:space="preserve">Use of perfluorooctyl iodide </w:t>
            </w:r>
            <w:proofErr w:type="gramStart"/>
            <w:r w:rsidRPr="001E55DD">
              <w:rPr>
                <w:color w:val="000000"/>
                <w:sz w:val="18"/>
                <w:szCs w:val="18"/>
                <w:lang w:val="en-GB" w:eastAsia="fr-CH"/>
              </w:rPr>
              <w:t>for the production of</w:t>
            </w:r>
            <w:proofErr w:type="gramEnd"/>
            <w:r w:rsidRPr="001E55DD">
              <w:rPr>
                <w:color w:val="000000"/>
                <w:sz w:val="18"/>
                <w:szCs w:val="18"/>
                <w:lang w:val="en-GB" w:eastAsia="fr-CH"/>
              </w:rPr>
              <w:t xml:space="preserve"> perfluorooctyl bromide for the purpose of producing pharmaceutical products, in accordance with the provisions of paragraph 3 of part X of this Annex</w:t>
            </w:r>
          </w:p>
          <w:p w:rsidR="00E03AA9" w:rsidRPr="001E55DD" w:rsidRDefault="00E03AA9" w:rsidP="00E03AA9">
            <w:pPr>
              <w:pStyle w:val="ListParagraph"/>
              <w:numPr>
                <w:ilvl w:val="0"/>
                <w:numId w:val="3"/>
              </w:numPr>
              <w:suppressAutoHyphens/>
              <w:snapToGrid w:val="0"/>
              <w:spacing w:before="40" w:after="40"/>
              <w:contextualSpacing w:val="0"/>
              <w:rPr>
                <w:sz w:val="18"/>
                <w:szCs w:val="18"/>
                <w:lang w:val="en-GB"/>
              </w:rPr>
            </w:pPr>
            <w:r w:rsidRPr="001E55DD">
              <w:rPr>
                <w:sz w:val="18"/>
                <w:szCs w:val="18"/>
                <w:lang w:val="en-GB"/>
              </w:rPr>
              <w:t xml:space="preserve">Manufacture of polytetrafluoroethylene (PTFE) and polyvinylidene fluoride (PVDF) </w:t>
            </w:r>
            <w:proofErr w:type="gramStart"/>
            <w:r w:rsidRPr="001E55DD">
              <w:rPr>
                <w:sz w:val="18"/>
                <w:szCs w:val="18"/>
                <w:lang w:val="en-GB"/>
              </w:rPr>
              <w:t>for the production of</w:t>
            </w:r>
            <w:proofErr w:type="gramEnd"/>
            <w:r w:rsidRPr="001E55DD">
              <w:rPr>
                <w:sz w:val="18"/>
                <w:szCs w:val="18"/>
                <w:lang w:val="en-GB"/>
              </w:rPr>
              <w:t>:</w:t>
            </w:r>
          </w:p>
          <w:p w:rsidR="00E03AA9" w:rsidRPr="001E55DD" w:rsidRDefault="00E03AA9" w:rsidP="00E03AA9">
            <w:pPr>
              <w:pStyle w:val="ListParagraph"/>
              <w:numPr>
                <w:ilvl w:val="1"/>
                <w:numId w:val="3"/>
              </w:numPr>
              <w:suppressAutoHyphens/>
              <w:snapToGrid w:val="0"/>
              <w:spacing w:before="40" w:after="40"/>
              <w:ind w:left="600" w:hanging="270"/>
              <w:contextualSpacing w:val="0"/>
              <w:rPr>
                <w:sz w:val="18"/>
                <w:szCs w:val="18"/>
                <w:lang w:val="en-GB"/>
              </w:rPr>
            </w:pPr>
            <w:r w:rsidRPr="001E55DD">
              <w:rPr>
                <w:sz w:val="18"/>
                <w:szCs w:val="18"/>
                <w:lang w:val="en-GB"/>
              </w:rPr>
              <w:t>High-performance, corrosion-resistant gas filter membranes, water filter membranes and membranes for medical textiles</w:t>
            </w:r>
          </w:p>
          <w:p w:rsidR="00E03AA9" w:rsidRPr="001E55DD" w:rsidRDefault="00E03AA9" w:rsidP="00E03AA9">
            <w:pPr>
              <w:pStyle w:val="ListParagraph"/>
              <w:numPr>
                <w:ilvl w:val="1"/>
                <w:numId w:val="3"/>
              </w:numPr>
              <w:suppressAutoHyphens/>
              <w:snapToGrid w:val="0"/>
              <w:spacing w:before="40" w:after="40"/>
              <w:ind w:left="600" w:hanging="270"/>
              <w:contextualSpacing w:val="0"/>
              <w:rPr>
                <w:sz w:val="18"/>
                <w:szCs w:val="18"/>
                <w:lang w:val="en-GB"/>
              </w:rPr>
            </w:pPr>
            <w:r w:rsidRPr="001E55DD">
              <w:rPr>
                <w:sz w:val="18"/>
                <w:szCs w:val="18"/>
                <w:lang w:val="en-GB"/>
              </w:rPr>
              <w:t xml:space="preserve">Industrial waste heat exchanger equipment </w:t>
            </w:r>
          </w:p>
          <w:p w:rsidR="00E03AA9" w:rsidRPr="001E55DD" w:rsidRDefault="00E03AA9" w:rsidP="00E03AA9">
            <w:pPr>
              <w:pStyle w:val="ListParagraph"/>
              <w:numPr>
                <w:ilvl w:val="1"/>
                <w:numId w:val="3"/>
              </w:numPr>
              <w:suppressAutoHyphens/>
              <w:snapToGrid w:val="0"/>
              <w:spacing w:before="40" w:after="40"/>
              <w:ind w:left="600" w:hanging="270"/>
              <w:contextualSpacing w:val="0"/>
              <w:rPr>
                <w:sz w:val="18"/>
                <w:szCs w:val="18"/>
                <w:lang w:val="en-GB"/>
              </w:rPr>
            </w:pPr>
            <w:r w:rsidRPr="001E55DD">
              <w:rPr>
                <w:sz w:val="18"/>
                <w:szCs w:val="18"/>
                <w:lang w:val="en-GB"/>
              </w:rPr>
              <w:t>Industrial sealants capable of preventing leakage of volatile organic compounds and PM2.5 particulates</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sz w:val="18"/>
                <w:szCs w:val="18"/>
                <w:lang w:val="en-GB"/>
              </w:rPr>
              <w:lastRenderedPageBreak/>
              <w:t xml:space="preserve">Manufacture of </w:t>
            </w:r>
            <w:proofErr w:type="spellStart"/>
            <w:r w:rsidRPr="001E55DD">
              <w:rPr>
                <w:sz w:val="18"/>
                <w:szCs w:val="18"/>
                <w:lang w:val="en-GB"/>
              </w:rPr>
              <w:t>polyfluoroethylene</w:t>
            </w:r>
            <w:proofErr w:type="spellEnd"/>
            <w:r w:rsidRPr="001E55DD">
              <w:rPr>
                <w:sz w:val="18"/>
                <w:szCs w:val="18"/>
                <w:lang w:val="en-GB"/>
              </w:rPr>
              <w:t xml:space="preserve"> propylene (FEP) </w:t>
            </w:r>
            <w:proofErr w:type="gramStart"/>
            <w:r w:rsidRPr="001E55DD">
              <w:rPr>
                <w:sz w:val="18"/>
                <w:szCs w:val="18"/>
                <w:lang w:val="en-GB"/>
              </w:rPr>
              <w:t>for the production of</w:t>
            </w:r>
            <w:proofErr w:type="gramEnd"/>
            <w:r w:rsidRPr="001E55DD">
              <w:rPr>
                <w:sz w:val="18"/>
                <w:szCs w:val="18"/>
                <w:lang w:val="en-GB"/>
              </w:rPr>
              <w:t xml:space="preserve"> high-voltage electrical wire and cables for power transmission</w:t>
            </w:r>
          </w:p>
          <w:p w:rsidR="00E03AA9" w:rsidRPr="001E55DD" w:rsidRDefault="00E03AA9" w:rsidP="00E03AA9">
            <w:pPr>
              <w:pStyle w:val="ListParagraph"/>
              <w:numPr>
                <w:ilvl w:val="0"/>
                <w:numId w:val="3"/>
              </w:numPr>
              <w:suppressAutoHyphens/>
              <w:snapToGrid w:val="0"/>
              <w:spacing w:before="40" w:after="40"/>
              <w:contextualSpacing w:val="0"/>
              <w:rPr>
                <w:color w:val="000000"/>
                <w:sz w:val="18"/>
                <w:szCs w:val="18"/>
                <w:lang w:val="en-GB" w:eastAsia="fr-CH"/>
              </w:rPr>
            </w:pPr>
            <w:r w:rsidRPr="001E55DD">
              <w:rPr>
                <w:sz w:val="18"/>
                <w:szCs w:val="18"/>
                <w:lang w:val="en-GB"/>
              </w:rPr>
              <w:t xml:space="preserve">Manufacture of </w:t>
            </w:r>
            <w:proofErr w:type="spellStart"/>
            <w:r w:rsidRPr="001E55DD">
              <w:rPr>
                <w:sz w:val="18"/>
                <w:szCs w:val="18"/>
                <w:lang w:val="en-GB"/>
              </w:rPr>
              <w:t>fluoroelastomers</w:t>
            </w:r>
            <w:proofErr w:type="spellEnd"/>
            <w:r w:rsidRPr="001E55DD">
              <w:rPr>
                <w:sz w:val="18"/>
                <w:szCs w:val="18"/>
                <w:lang w:val="en-GB"/>
              </w:rPr>
              <w:t xml:space="preserve"> </w:t>
            </w:r>
            <w:proofErr w:type="gramStart"/>
            <w:r w:rsidRPr="001E55DD">
              <w:rPr>
                <w:sz w:val="18"/>
                <w:szCs w:val="18"/>
                <w:lang w:val="en-GB"/>
              </w:rPr>
              <w:t>for the production of</w:t>
            </w:r>
            <w:proofErr w:type="gramEnd"/>
            <w:r w:rsidRPr="001E55DD">
              <w:rPr>
                <w:sz w:val="18"/>
                <w:szCs w:val="18"/>
                <w:lang w:val="en-GB"/>
              </w:rPr>
              <w:t xml:space="preserve"> O-rings, v-belts and plastic accessories for car interiors</w:t>
            </w:r>
          </w:p>
        </w:tc>
      </w:tr>
    </w:tbl>
    <w:p w:rsidR="00E03AA9" w:rsidRPr="001E55DD" w:rsidRDefault="00E03AA9" w:rsidP="00E03AA9">
      <w:pPr>
        <w:pStyle w:val="Normal-pool"/>
        <w:numPr>
          <w:ilvl w:val="6"/>
          <w:numId w:val="1"/>
        </w:numPr>
        <w:tabs>
          <w:tab w:val="clear" w:pos="1247"/>
          <w:tab w:val="clear" w:pos="1814"/>
          <w:tab w:val="clear" w:pos="2381"/>
          <w:tab w:val="clear" w:pos="2948"/>
          <w:tab w:val="clear" w:pos="3515"/>
          <w:tab w:val="clear" w:pos="4082"/>
          <w:tab w:val="clear" w:pos="7988"/>
          <w:tab w:val="left" w:pos="624"/>
        </w:tabs>
        <w:spacing w:after="120"/>
        <w:ind w:left="1247" w:firstLine="624"/>
      </w:pPr>
      <w:r w:rsidRPr="001E55DD">
        <w:rPr>
          <w:i/>
        </w:rPr>
        <w:lastRenderedPageBreak/>
        <w:t>Also decides</w:t>
      </w:r>
      <w:r w:rsidRPr="001E55DD">
        <w:t xml:space="preserve"> to insert a new part X in Annex A to the Stockholm Convention on Persistent Organic Pollutants, as follows:</w:t>
      </w:r>
    </w:p>
    <w:p w:rsidR="00E03AA9" w:rsidRPr="001E55DD" w:rsidRDefault="00E03AA9" w:rsidP="00E03AA9">
      <w:pPr>
        <w:pStyle w:val="CH2"/>
        <w:ind w:left="2494"/>
        <w:jc w:val="center"/>
      </w:pPr>
      <w:r w:rsidRPr="001E55DD">
        <w:t>Part X</w:t>
      </w:r>
    </w:p>
    <w:p w:rsidR="00E03AA9" w:rsidRPr="001E55DD" w:rsidRDefault="00E03AA9" w:rsidP="00E03AA9">
      <w:pPr>
        <w:pStyle w:val="CH2"/>
        <w:ind w:left="2494"/>
        <w:jc w:val="center"/>
      </w:pPr>
      <w:r w:rsidRPr="001E55DD">
        <w:t>Perfluorooctanoic acid (PFOA), its salts and PFOA-related compounds</w:t>
      </w:r>
    </w:p>
    <w:p w:rsidR="00E03AA9" w:rsidRPr="001E55DD" w:rsidRDefault="00E03AA9" w:rsidP="00E03AA9">
      <w:pPr>
        <w:pStyle w:val="Normal-pool"/>
        <w:numPr>
          <w:ilvl w:val="0"/>
          <w:numId w:val="4"/>
        </w:numPr>
        <w:tabs>
          <w:tab w:val="clear" w:pos="1247"/>
          <w:tab w:val="clear" w:pos="1814"/>
          <w:tab w:val="clear" w:pos="2381"/>
          <w:tab w:val="clear" w:pos="4082"/>
          <w:tab w:val="left" w:pos="2410"/>
        </w:tabs>
        <w:spacing w:after="120"/>
        <w:ind w:left="1247" w:firstLine="611"/>
      </w:pPr>
      <w:r w:rsidRPr="001E55DD">
        <w:t>The production and use of perfluorooctanoic acid (PFOA), its salts and PFOA</w:t>
      </w:r>
      <w:r w:rsidRPr="001E55DD">
        <w:noBreakHyphen/>
        <w:t xml:space="preserve">related compounds shall be eliminated except for Parties that have notified the Secretariat of their intention to produce and/or use them in accordance with Article 4 of the Convention. </w:t>
      </w:r>
    </w:p>
    <w:p w:rsidR="00E03AA9" w:rsidRPr="001E55DD" w:rsidRDefault="00E03AA9" w:rsidP="00E03AA9">
      <w:pPr>
        <w:pStyle w:val="Normal-pool"/>
        <w:numPr>
          <w:ilvl w:val="0"/>
          <w:numId w:val="4"/>
        </w:numPr>
        <w:tabs>
          <w:tab w:val="clear" w:pos="1247"/>
          <w:tab w:val="clear" w:pos="1814"/>
          <w:tab w:val="clear" w:pos="2381"/>
          <w:tab w:val="clear" w:pos="4082"/>
          <w:tab w:val="left" w:pos="2410"/>
        </w:tabs>
        <w:spacing w:after="120"/>
        <w:ind w:left="1247" w:firstLine="611"/>
      </w:pPr>
      <w:r w:rsidRPr="001E55DD">
        <w:t xml:space="preserve">Each Party that has registered for a specific exemption pursuant to Article 4 for the use of PFOA, its salts and PFOA-related compounds for fire-fighting foam shall: </w:t>
      </w:r>
    </w:p>
    <w:p w:rsidR="00E03AA9" w:rsidRPr="001E55DD" w:rsidRDefault="00E03AA9" w:rsidP="00E03AA9">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n-GB"/>
        </w:rPr>
      </w:pPr>
      <w:r w:rsidRPr="001E55DD">
        <w:rPr>
          <w:lang w:val="en-GB"/>
        </w:rPr>
        <w:t>Notwithstanding paragraph 2 of Article 3, ensure that fire-fighting foam that contains or may contain PFOA, its salts and PFOA-related compounds shall not be exported or imported except for the purpose of environmentally sound disposal as set forth in paragraph 1 (d) of Article 6;</w:t>
      </w:r>
    </w:p>
    <w:p w:rsidR="00E03AA9" w:rsidRPr="001E55DD" w:rsidRDefault="00E03AA9" w:rsidP="00E03AA9">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n-GB"/>
        </w:rPr>
      </w:pPr>
      <w:r w:rsidRPr="001E55DD">
        <w:rPr>
          <w:lang w:val="en-GB"/>
        </w:rPr>
        <w:t xml:space="preserve">Not use fire-fighting foam that contains or may contain PFOA, its salts and </w:t>
      </w:r>
      <w:r w:rsidRPr="001E55DD">
        <w:rPr>
          <w:lang w:val="en-GB"/>
        </w:rPr>
        <w:br/>
        <w:t>PFOA-related compounds for training;</w:t>
      </w:r>
    </w:p>
    <w:p w:rsidR="00E03AA9" w:rsidRPr="001E55DD" w:rsidRDefault="00E03AA9" w:rsidP="00E03AA9">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n-GB"/>
        </w:rPr>
      </w:pPr>
      <w:r w:rsidRPr="001E55DD">
        <w:rPr>
          <w:lang w:val="en-GB"/>
        </w:rPr>
        <w:t xml:space="preserve">Not use fire-fighting foam that contains or may contain PFOA, its salts and </w:t>
      </w:r>
      <w:r w:rsidRPr="001E55DD">
        <w:rPr>
          <w:lang w:val="en-GB"/>
        </w:rPr>
        <w:br/>
        <w:t>PFOA-related compounds for testing unless all releases are contained;</w:t>
      </w:r>
    </w:p>
    <w:p w:rsidR="00E03AA9" w:rsidRPr="001E55DD" w:rsidRDefault="00E03AA9" w:rsidP="00E03AA9">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n-GB"/>
        </w:rPr>
      </w:pPr>
      <w:r w:rsidRPr="001E55DD">
        <w:rPr>
          <w:lang w:val="en-GB"/>
        </w:rPr>
        <w:t>By the end of 2022, if it has the capacity to do so, but no later than 2025, restrict uses of fire-fighting foam that contains or may contain PFOA, its salts and PFOA-related compounds to sites where all releases can be contained;</w:t>
      </w:r>
    </w:p>
    <w:p w:rsidR="00E03AA9" w:rsidRPr="001E55DD" w:rsidRDefault="00E03AA9" w:rsidP="00E03AA9">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n-GB"/>
        </w:rPr>
      </w:pPr>
      <w:r w:rsidRPr="001E55DD">
        <w:rPr>
          <w:lang w:val="en-GB"/>
        </w:rPr>
        <w:t xml:space="preserve">Make determined efforts designed to lead to the environmentally sound management of fire-fighting foam stockpiles and wastes that contain or may contain PFOA, its salts and </w:t>
      </w:r>
      <w:r w:rsidRPr="001E55DD">
        <w:rPr>
          <w:lang w:val="en-GB"/>
        </w:rPr>
        <w:br/>
        <w:t>PFOA-related compounds, in accordance with paragraph 1 of Article 6, as soon as possible;</w:t>
      </w:r>
    </w:p>
    <w:p w:rsidR="00E03AA9" w:rsidRPr="001E55DD" w:rsidRDefault="00E03AA9" w:rsidP="00E03AA9">
      <w:pPr>
        <w:pStyle w:val="Normal-pool"/>
        <w:numPr>
          <w:ilvl w:val="0"/>
          <w:numId w:val="4"/>
        </w:numPr>
        <w:tabs>
          <w:tab w:val="clear" w:pos="1247"/>
          <w:tab w:val="clear" w:pos="1814"/>
          <w:tab w:val="clear" w:pos="2381"/>
          <w:tab w:val="clear" w:pos="4082"/>
          <w:tab w:val="left" w:pos="2410"/>
        </w:tabs>
        <w:spacing w:after="120"/>
        <w:ind w:left="1247" w:firstLine="611"/>
      </w:pPr>
      <w:proofErr w:type="gramStart"/>
      <w:r w:rsidRPr="001E55DD">
        <w:t>With regard to</w:t>
      </w:r>
      <w:proofErr w:type="gramEnd"/>
      <w:r w:rsidRPr="001E55DD">
        <w:t xml:space="preserve"> the specific exemption for the use of perfluorooctyl iodide for the production of perfluorooctyl bromide for the purpose of producing pharmaceutical products, at its thirteenth ordinary meeting and at every second ordinary meeting thereafter, the Conference of the Parties shall review the continued need for this specific exemption. This specific exemption shall in any case expire at the latest in 2036.</w:t>
      </w:r>
      <w:bookmarkStart w:id="0" w:name="_GoBack"/>
      <w:bookmarkEnd w:id="0"/>
    </w:p>
    <w:p w:rsidR="00F935A6" w:rsidRDefault="00F935A6"/>
    <w:sectPr w:rsidR="00F93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1F" w:rsidRDefault="0006181F" w:rsidP="00E03AA9">
      <w:pPr>
        <w:spacing w:after="0" w:line="240" w:lineRule="auto"/>
      </w:pPr>
      <w:r>
        <w:separator/>
      </w:r>
    </w:p>
  </w:endnote>
  <w:endnote w:type="continuationSeparator" w:id="0">
    <w:p w:rsidR="0006181F" w:rsidRDefault="0006181F" w:rsidP="00E0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1F" w:rsidRDefault="0006181F" w:rsidP="00E03AA9">
      <w:pPr>
        <w:spacing w:after="0" w:line="240" w:lineRule="auto"/>
      </w:pPr>
      <w:r>
        <w:separator/>
      </w:r>
    </w:p>
  </w:footnote>
  <w:footnote w:type="continuationSeparator" w:id="0">
    <w:p w:rsidR="0006181F" w:rsidRDefault="0006181F" w:rsidP="00E03AA9">
      <w:pPr>
        <w:spacing w:after="0" w:line="240" w:lineRule="auto"/>
      </w:pPr>
      <w:r>
        <w:continuationSeparator/>
      </w:r>
    </w:p>
  </w:footnote>
  <w:footnote w:id="1">
    <w:p w:rsidR="00E03AA9" w:rsidRPr="007D12AB" w:rsidRDefault="00E03AA9" w:rsidP="00E03AA9">
      <w:pPr>
        <w:pStyle w:val="FootnoteText"/>
        <w:tabs>
          <w:tab w:val="left" w:pos="624"/>
        </w:tabs>
        <w:rPr>
          <w:szCs w:val="18"/>
          <w:lang w:val="en-GB"/>
        </w:rPr>
      </w:pPr>
      <w:r w:rsidRPr="007D12AB">
        <w:rPr>
          <w:rStyle w:val="FootnoteReference"/>
          <w:lang w:val="en-GB"/>
        </w:rPr>
        <w:footnoteRef/>
      </w:r>
      <w:r w:rsidRPr="007D12AB">
        <w:rPr>
          <w:szCs w:val="18"/>
          <w:lang w:val="en-GB"/>
        </w:rPr>
        <w:t xml:space="preserve"> UNEP/POPS/POPRC.12/11/Add.2; UNEP/POPS/POPRC.13/7/Add.2; UNEP/POPS/POPRC.14/6/Add.2.</w:t>
      </w:r>
    </w:p>
  </w:footnote>
  <w:footnote w:id="2">
    <w:p w:rsidR="00E03AA9" w:rsidRPr="007D12AB" w:rsidRDefault="00E03AA9" w:rsidP="00E03AA9">
      <w:pPr>
        <w:pStyle w:val="FootnoteText"/>
        <w:tabs>
          <w:tab w:val="left" w:pos="624"/>
        </w:tabs>
        <w:rPr>
          <w:szCs w:val="18"/>
          <w:lang w:val="en-GB"/>
        </w:rPr>
      </w:pPr>
      <w:r w:rsidRPr="007D12AB">
        <w:rPr>
          <w:rStyle w:val="FootnoteReference"/>
          <w:lang w:val="en-GB"/>
        </w:rPr>
        <w:footnoteRef/>
      </w:r>
      <w:r w:rsidRPr="007D12AB">
        <w:rPr>
          <w:szCs w:val="18"/>
          <w:lang w:val="en-GB"/>
        </w:rPr>
        <w:t xml:space="preserve"> UNEP/POPS/COP.9/14.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1" w15:restartNumberingAfterBreak="0">
    <w:nsid w:val="19080365"/>
    <w:multiLevelType w:val="hybridMultilevel"/>
    <w:tmpl w:val="43466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E527EA5"/>
    <w:multiLevelType w:val="hybridMultilevel"/>
    <w:tmpl w:val="BA8AB644"/>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30640"/>
    <w:multiLevelType w:val="hybridMultilevel"/>
    <w:tmpl w:val="60E24802"/>
    <w:lvl w:ilvl="0" w:tplc="F3024F1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3162BF5"/>
    <w:multiLevelType w:val="hybridMultilevel"/>
    <w:tmpl w:val="9CD8A454"/>
    <w:lvl w:ilvl="0" w:tplc="AC723BFC">
      <w:start w:val="1"/>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5" w15:restartNumberingAfterBreak="0">
    <w:nsid w:val="5FD70F4F"/>
    <w:multiLevelType w:val="hybridMultilevel"/>
    <w:tmpl w:val="EA02E258"/>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C159B"/>
    <w:multiLevelType w:val="hybridMultilevel"/>
    <w:tmpl w:val="DB4C9E58"/>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B032D95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9"/>
    <w:rsid w:val="0006181F"/>
    <w:rsid w:val="00E03AA9"/>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F8F2-2722-4B48-AB9B-ABF65486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CH2"/>
    <w:rsid w:val="00E03AA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
    <w:link w:val="CH2Char"/>
    <w:rsid w:val="00E03AA9"/>
    <w:pPr>
      <w:keepNext/>
      <w:keepLines/>
      <w:tabs>
        <w:tab w:val="right" w:pos="851"/>
      </w:tabs>
      <w:suppressAutoHyphens/>
      <w:spacing w:before="240" w:after="120"/>
      <w:ind w:left="1247" w:right="284" w:hanging="1247"/>
    </w:pPr>
    <w:rPr>
      <w:b/>
      <w:sz w:val="24"/>
      <w:szCs w:val="24"/>
      <w:lang w:val="en-GB"/>
    </w:rPr>
  </w:style>
  <w:style w:type="paragraph" w:customStyle="1" w:styleId="Normalpool">
    <w:name w:val="Normal_pool"/>
    <w:link w:val="NormalpoolChar"/>
    <w:rsid w:val="00E03AA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Normal-pool">
    <w:name w:val="Normal-pool"/>
    <w:link w:val="Normal-poolChar"/>
    <w:qFormat/>
    <w:rsid w:val="00E03AA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E03AA9"/>
    <w:rPr>
      <w:rFonts w:ascii="Times New Roman" w:hAnsi="Times New Roman"/>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pool"/>
    <w:link w:val="FootnoteTextChar"/>
    <w:qFormat/>
    <w:rsid w:val="00E03AA9"/>
    <w:pPr>
      <w:spacing w:before="20" w:after="40"/>
      <w:ind w:left="1247"/>
    </w:pPr>
    <w:rPr>
      <w:sz w:val="18"/>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E03AA9"/>
    <w:rPr>
      <w:rFonts w:ascii="Times New Roman" w:eastAsia="Times New Roman" w:hAnsi="Times New Roman" w:cs="Times New Roman"/>
      <w:sz w:val="18"/>
      <w:szCs w:val="20"/>
      <w:lang w:val="fr-FR" w:eastAsia="en-US"/>
    </w:rPr>
  </w:style>
  <w:style w:type="character" w:customStyle="1" w:styleId="Normal-poolChar">
    <w:name w:val="Normal-pool Char"/>
    <w:link w:val="Normal-pool"/>
    <w:rsid w:val="00E03AA9"/>
    <w:rPr>
      <w:rFonts w:ascii="Times New Roman" w:eastAsia="Times New Roman" w:hAnsi="Times New Roman" w:cs="Times New Roman"/>
      <w:sz w:val="20"/>
      <w:szCs w:val="20"/>
      <w:lang w:val="en-GB" w:eastAsia="en-US"/>
    </w:rPr>
  </w:style>
  <w:style w:type="character" w:customStyle="1" w:styleId="CH2Char">
    <w:name w:val="CH2 Char"/>
    <w:link w:val="CH2"/>
    <w:rsid w:val="00E03AA9"/>
    <w:rPr>
      <w:rFonts w:ascii="Times New Roman" w:eastAsia="Times New Roman" w:hAnsi="Times New Roman" w:cs="Times New Roman"/>
      <w:b/>
      <w:sz w:val="24"/>
      <w:szCs w:val="24"/>
      <w:lang w:val="en-GB" w:eastAsia="en-US"/>
    </w:rPr>
  </w:style>
  <w:style w:type="paragraph" w:styleId="ListParagraph">
    <w:name w:val="List Paragraph"/>
    <w:basedOn w:val="Normal"/>
    <w:uiPriority w:val="34"/>
    <w:qFormat/>
    <w:rsid w:val="00E03AA9"/>
    <w:pPr>
      <w:spacing w:after="0" w:line="240" w:lineRule="auto"/>
      <w:ind w:left="720"/>
      <w:contextualSpacing/>
    </w:pPr>
    <w:rPr>
      <w:rFonts w:ascii="Times New Roman" w:eastAsia="Times New Roman" w:hAnsi="Times New Roman" w:cs="Times New Roman"/>
      <w:sz w:val="24"/>
      <w:szCs w:val="24"/>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E03AA9"/>
    <w:pPr>
      <w:spacing w:before="120" w:line="240" w:lineRule="exact"/>
    </w:pPr>
    <w:rPr>
      <w:rFonts w:ascii="Times New Roman" w:hAnsi="Times New Roman"/>
      <w:sz w:val="20"/>
      <w:szCs w:val="18"/>
      <w:vertAlign w:val="superscript"/>
    </w:rPr>
  </w:style>
  <w:style w:type="character" w:customStyle="1" w:styleId="NormalpoolChar">
    <w:name w:val="Normal_pool Char"/>
    <w:link w:val="Normalpool"/>
    <w:rsid w:val="00E03AA9"/>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2020-01-15T15:51:00Z</dcterms:created>
  <dcterms:modified xsi:type="dcterms:W3CDTF">2020-01-15T15:52:00Z</dcterms:modified>
</cp:coreProperties>
</file>